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80363A">
        <w:rPr>
          <w:rFonts w:ascii="Garamond" w:hAnsi="Garamond" w:cs="Arial"/>
          <w:b/>
          <w:sz w:val="24"/>
          <w:szCs w:val="24"/>
        </w:rPr>
        <w:t>3</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80363A">
        <w:rPr>
          <w:rFonts w:ascii="Garamond" w:hAnsi="Garamond" w:cs="Arial"/>
          <w:sz w:val="24"/>
          <w:szCs w:val="24"/>
        </w:rPr>
        <w:t>03</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80363A">
        <w:rPr>
          <w:rFonts w:ascii="Garamond" w:hAnsi="Garamond"/>
          <w:i/>
        </w:rPr>
        <w:t>Reperimento, digitalizzazione, schedatura, organizzazione di fonti scritte e orali relative alla storia delle esplorazioni e dell’accompagnamento in alta montagna</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6D0CFD"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6D0CFD"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80363A">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0CFD"/>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363A"/>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13B1B-36D3-45FA-8101-577458E9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678</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173</cp:revision>
  <cp:lastPrinted>2013-01-25T09:10:00Z</cp:lastPrinted>
  <dcterms:created xsi:type="dcterms:W3CDTF">2011-11-08T10:13:00Z</dcterms:created>
  <dcterms:modified xsi:type="dcterms:W3CDTF">2014-03-12T11:02:00Z</dcterms:modified>
</cp:coreProperties>
</file>