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A9679F">
        <w:rPr>
          <w:rFonts w:ascii="Garamond" w:hAnsi="Garamond" w:cs="Arial"/>
          <w:b/>
          <w:sz w:val="24"/>
          <w:szCs w:val="24"/>
        </w:rPr>
        <w:t>10</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A9679F">
        <w:rPr>
          <w:rFonts w:ascii="Garamond" w:hAnsi="Garamond" w:cs="Arial"/>
          <w:sz w:val="24"/>
          <w:szCs w:val="24"/>
        </w:rPr>
        <w:t>10</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A9679F">
        <w:rPr>
          <w:rFonts w:ascii="Garamond" w:hAnsi="Garamond"/>
          <w:i/>
        </w:rPr>
        <w:t>Traduzione italiano-tedesco e revisione di testi tedeschi per circa 10 cartelle</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C40EA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C40EA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A9679F">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2132-1A92-4911-B1A3-72529E6D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783</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176</cp:revision>
  <cp:lastPrinted>2013-01-25T09:10:00Z</cp:lastPrinted>
  <dcterms:created xsi:type="dcterms:W3CDTF">2011-11-08T10:13:00Z</dcterms:created>
  <dcterms:modified xsi:type="dcterms:W3CDTF">2014-10-15T07:58:00Z</dcterms:modified>
</cp:coreProperties>
</file>