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 xml:space="preserve">di non trovarsi, in relazione all’incarico </w:t>
      </w:r>
      <w:bookmarkStart w:id="1" w:name="_GoBack"/>
      <w:bookmarkEnd w:id="1"/>
      <w:r w:rsidR="00F7114C" w:rsidRPr="007857DC">
        <w:rPr>
          <w:sz w:val="20"/>
          <w:szCs w:val="20"/>
        </w:rPr>
        <w:t>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0165/306700. L’Università ha nominato il Responsabile della protezione dei dati (Data Protection Officer,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078D7-A8DF-4446-9032-1393DCA0FC21}"/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4</cp:revision>
  <cp:lastPrinted>2019-02-13T10:12:00Z</cp:lastPrinted>
  <dcterms:created xsi:type="dcterms:W3CDTF">2019-03-07T09:04:00Z</dcterms:created>
  <dcterms:modified xsi:type="dcterms:W3CDTF">2019-10-21T14:13:00Z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