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5E0C9E1D"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EF335F">
        <w:rPr>
          <w:rFonts w:ascii="Garamond" w:hAnsi="Garamond" w:cs="Arial"/>
          <w:b/>
          <w:sz w:val="24"/>
          <w:szCs w:val="24"/>
        </w:rPr>
        <w:t>0</w:t>
      </w:r>
      <w:r w:rsidR="004C5F8E">
        <w:rPr>
          <w:rFonts w:ascii="Garamond" w:hAnsi="Garamond" w:cs="Arial"/>
          <w:b/>
          <w:sz w:val="24"/>
          <w:szCs w:val="24"/>
        </w:rPr>
        <w:t>6</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413268CD"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EF335F">
        <w:rPr>
          <w:rFonts w:ascii="Garamond" w:hAnsi="Garamond" w:cs="Arial"/>
          <w:sz w:val="24"/>
          <w:szCs w:val="24"/>
        </w:rPr>
        <w:t>0</w:t>
      </w:r>
      <w:r w:rsidR="004C5F8E">
        <w:rPr>
          <w:rFonts w:ascii="Garamond" w:hAnsi="Garamond" w:cs="Arial"/>
          <w:sz w:val="24"/>
          <w:szCs w:val="24"/>
        </w:rPr>
        <w:t>6</w:t>
      </w:r>
      <w:r w:rsidR="00E651F5">
        <w:rPr>
          <w:rFonts w:ascii="Garamond" w:hAnsi="Garamond" w:cs="Arial"/>
          <w:sz w:val="24"/>
          <w:szCs w:val="24"/>
        </w:rPr>
        <w:t>/</w:t>
      </w:r>
      <w:r w:rsidRPr="00D709F4">
        <w:rPr>
          <w:rFonts w:ascii="Garamond" w:hAnsi="Garamond" w:cs="Arial"/>
          <w:sz w:val="24"/>
          <w:szCs w:val="24"/>
        </w:rPr>
        <w:t>20</w:t>
      </w:r>
      <w:r w:rsidR="00641D3B">
        <w:rPr>
          <w:rFonts w:ascii="Garamond" w:hAnsi="Garamond" w:cs="Arial"/>
          <w:sz w:val="24"/>
          <w:szCs w:val="24"/>
        </w:rPr>
        <w:t>2</w:t>
      </w:r>
      <w:r w:rsidR="00F13BF2">
        <w:rPr>
          <w:rFonts w:ascii="Garamond" w:hAnsi="Garamond" w:cs="Arial"/>
          <w:sz w:val="24"/>
          <w:szCs w:val="24"/>
        </w:rPr>
        <w:t>1</w:t>
      </w:r>
      <w:r w:rsidRPr="00D709F4">
        <w:rPr>
          <w:rFonts w:ascii="Garamond" w:hAnsi="Garamond" w:cs="Arial"/>
          <w:sz w:val="24"/>
          <w:szCs w:val="24"/>
        </w:rPr>
        <w:t>:</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F455EE" w14:paraId="1F998C6F" w14:textId="77777777" w:rsidTr="005769A8">
        <w:trPr>
          <w:trHeight w:val="204"/>
        </w:trPr>
        <w:tc>
          <w:tcPr>
            <w:tcW w:w="9747" w:type="dxa"/>
          </w:tcPr>
          <w:p w14:paraId="0E87966D" w14:textId="77777777" w:rsidR="00462E2E" w:rsidRPr="00462E2E" w:rsidRDefault="00462E2E" w:rsidP="00462E2E">
            <w:pPr>
              <w:pStyle w:val="xmsonormal"/>
              <w:numPr>
                <w:ilvl w:val="0"/>
                <w:numId w:val="17"/>
              </w:numPr>
              <w:shd w:val="clear" w:color="auto" w:fill="FFFFFF"/>
              <w:jc w:val="both"/>
              <w:rPr>
                <w:rFonts w:ascii="Garamond" w:eastAsia="Times New Roman" w:hAnsi="Garamond"/>
                <w:i/>
                <w:iCs/>
                <w:sz w:val="24"/>
                <w:szCs w:val="24"/>
                <w:bdr w:val="none" w:sz="0" w:space="0" w:color="auto" w:frame="1"/>
              </w:rPr>
            </w:pPr>
            <w:r w:rsidRPr="00462E2E">
              <w:rPr>
                <w:rFonts w:ascii="Garamond" w:eastAsia="Times New Roman" w:hAnsi="Garamond"/>
                <w:i/>
                <w:iCs/>
                <w:color w:val="000000"/>
                <w:sz w:val="24"/>
                <w:szCs w:val="24"/>
                <w:bdr w:val="none" w:sz="0" w:space="0" w:color="auto" w:frame="1"/>
              </w:rPr>
              <w:t>analisi della letteratura scientifica e delle ricerche internazionali di natura qualitativa relative all’integrazione sociale e lavorativa degli immigrati nei contesti lavorativi;</w:t>
            </w:r>
          </w:p>
          <w:p w14:paraId="02A28C06" w14:textId="77777777" w:rsidR="00462E2E" w:rsidRPr="00462E2E" w:rsidRDefault="00462E2E" w:rsidP="00462E2E">
            <w:pPr>
              <w:pStyle w:val="xmsonormal"/>
              <w:numPr>
                <w:ilvl w:val="0"/>
                <w:numId w:val="17"/>
              </w:numPr>
              <w:shd w:val="clear" w:color="auto" w:fill="FFFFFF"/>
              <w:jc w:val="both"/>
              <w:rPr>
                <w:rFonts w:ascii="Garamond" w:eastAsia="Times New Roman" w:hAnsi="Garamond"/>
                <w:i/>
                <w:iCs/>
                <w:sz w:val="24"/>
                <w:szCs w:val="24"/>
                <w:bdr w:val="none" w:sz="0" w:space="0" w:color="auto" w:frame="1"/>
              </w:rPr>
            </w:pPr>
            <w:r w:rsidRPr="00462E2E">
              <w:rPr>
                <w:rFonts w:ascii="Garamond" w:eastAsia="Times New Roman" w:hAnsi="Garamond"/>
                <w:i/>
                <w:iCs/>
                <w:color w:val="000000"/>
                <w:sz w:val="24"/>
                <w:szCs w:val="24"/>
                <w:bdr w:val="none" w:sz="0" w:space="0" w:color="auto" w:frame="1"/>
              </w:rPr>
              <w:t>analisi della letteratura scientifica e delle ricerche internazionali di carattere critico relative al medesimo tema del punto 1;</w:t>
            </w:r>
          </w:p>
          <w:p w14:paraId="30E26D0A" w14:textId="77777777" w:rsidR="00462E2E" w:rsidRPr="00462E2E" w:rsidRDefault="00462E2E" w:rsidP="00462E2E">
            <w:pPr>
              <w:pStyle w:val="xmsonormal"/>
              <w:numPr>
                <w:ilvl w:val="0"/>
                <w:numId w:val="17"/>
              </w:numPr>
              <w:shd w:val="clear" w:color="auto" w:fill="FFFFFF"/>
              <w:jc w:val="both"/>
              <w:rPr>
                <w:rFonts w:ascii="Garamond" w:eastAsia="Times New Roman" w:hAnsi="Garamond"/>
                <w:i/>
                <w:iCs/>
                <w:sz w:val="24"/>
                <w:szCs w:val="24"/>
                <w:bdr w:val="none" w:sz="0" w:space="0" w:color="auto" w:frame="1"/>
              </w:rPr>
            </w:pPr>
            <w:r w:rsidRPr="00462E2E">
              <w:rPr>
                <w:rFonts w:ascii="Garamond" w:eastAsia="Times New Roman" w:hAnsi="Garamond"/>
                <w:i/>
                <w:iCs/>
                <w:color w:val="000000"/>
                <w:sz w:val="24"/>
                <w:szCs w:val="24"/>
                <w:bdr w:val="none" w:sz="0" w:space="0" w:color="auto" w:frame="1"/>
              </w:rPr>
              <w:t>collaborazione con il referente scientifico alla costruzione di dettaglio del progetto di ricerca e alla definizione di dettaglio degli strumenti metodologici post-qualitativi da utilizzare nell’indagine sul campo;</w:t>
            </w:r>
          </w:p>
          <w:p w14:paraId="437FF9A8" w14:textId="44CF424C" w:rsidR="00D91FA9" w:rsidRPr="00462E2E" w:rsidRDefault="00462E2E" w:rsidP="00462E2E">
            <w:pPr>
              <w:numPr>
                <w:ilvl w:val="0"/>
                <w:numId w:val="17"/>
              </w:numPr>
              <w:autoSpaceDE w:val="0"/>
              <w:autoSpaceDN w:val="0"/>
              <w:adjustRightInd w:val="0"/>
              <w:jc w:val="both"/>
              <w:rPr>
                <w:rFonts w:ascii="Garamond" w:hAnsi="Garamond"/>
                <w:i/>
                <w:iCs/>
              </w:rPr>
            </w:pPr>
            <w:r w:rsidRPr="00462E2E">
              <w:rPr>
                <w:rFonts w:ascii="Garamond" w:hAnsi="Garamond"/>
                <w:i/>
                <w:iCs/>
                <w:color w:val="000000"/>
                <w:bdr w:val="none" w:sz="0" w:space="0" w:color="auto" w:frame="1"/>
              </w:rPr>
              <w:t>pianificazione degli aspetti organizzativi e logistici connessi con la raccolta dati.</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lastRenderedPageBreak/>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lastRenderedPageBreak/>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43D4" w14:textId="77777777" w:rsidR="000C3DDA" w:rsidRDefault="000C3DDA">
      <w:r>
        <w:separator/>
      </w:r>
    </w:p>
  </w:endnote>
  <w:endnote w:type="continuationSeparator" w:id="0">
    <w:p w14:paraId="06EC2C1B" w14:textId="77777777" w:rsidR="000C3DDA" w:rsidRDefault="000C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3A30" w14:textId="77777777" w:rsidR="000C3DDA" w:rsidRDefault="000C3DDA">
      <w:r>
        <w:separator/>
      </w:r>
    </w:p>
  </w:footnote>
  <w:footnote w:type="continuationSeparator" w:id="0">
    <w:p w14:paraId="4690E25D" w14:textId="77777777" w:rsidR="000C3DDA" w:rsidRDefault="000C3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5"/>
  </w:num>
  <w:num w:numId="3">
    <w:abstractNumId w:val="12"/>
  </w:num>
  <w:num w:numId="4">
    <w:abstractNumId w:val="0"/>
  </w:num>
  <w:num w:numId="5">
    <w:abstractNumId w:val="16"/>
  </w:num>
  <w:num w:numId="6">
    <w:abstractNumId w:val="10"/>
  </w:num>
  <w:num w:numId="7">
    <w:abstractNumId w:val="1"/>
  </w:num>
  <w:num w:numId="8">
    <w:abstractNumId w:val="7"/>
  </w:num>
  <w:num w:numId="9">
    <w:abstractNumId w:val="17"/>
  </w:num>
  <w:num w:numId="10">
    <w:abstractNumId w:val="5"/>
  </w:num>
  <w:num w:numId="11">
    <w:abstractNumId w:val="20"/>
  </w:num>
  <w:num w:numId="12">
    <w:abstractNumId w:val="14"/>
  </w:num>
  <w:num w:numId="13">
    <w:abstractNumId w:val="13"/>
  </w:num>
  <w:num w:numId="14">
    <w:abstractNumId w:val="6"/>
    <w:lvlOverride w:ilvl="0">
      <w:startOverride w:val="1"/>
    </w:lvlOverride>
  </w:num>
  <w:num w:numId="15">
    <w:abstractNumId w:val="18"/>
  </w:num>
  <w:num w:numId="16">
    <w:abstractNumId w:val="9"/>
    <w:lvlOverride w:ilvl="0">
      <w:startOverride w:val="1"/>
    </w:lvlOverride>
  </w:num>
  <w:num w:numId="17">
    <w:abstractNumId w:val="3"/>
  </w:num>
  <w:num w:numId="18">
    <w:abstractNumId w:val="19"/>
  </w:num>
  <w:num w:numId="19">
    <w:abstractNumId w:val="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927</Words>
  <Characters>5288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Michela Garino</cp:lastModifiedBy>
  <cp:revision>212</cp:revision>
  <cp:lastPrinted>2013-01-25T09:10:00Z</cp:lastPrinted>
  <dcterms:created xsi:type="dcterms:W3CDTF">2011-11-08T10:13:00Z</dcterms:created>
  <dcterms:modified xsi:type="dcterms:W3CDTF">2021-06-16T09:14:00Z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