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DC4D8D" w:rsidRDefault="00C74164" w:rsidP="00C74164">
      <w:pPr>
        <w:pStyle w:val="Intestazione"/>
        <w:jc w:val="both"/>
        <w:rPr>
          <w:rFonts w:ascii="Garamond" w:hAnsi="Garamond"/>
          <w:sz w:val="24"/>
        </w:rPr>
      </w:pPr>
      <w:r w:rsidRPr="00FF15C2">
        <w:rPr>
          <w:rFonts w:ascii="Garamond" w:hAnsi="Garamond"/>
          <w:sz w:val="24"/>
        </w:rPr>
        <w:t xml:space="preserve">Modulo </w:t>
      </w:r>
      <w:r w:rsidRPr="00DC4D8D">
        <w:rPr>
          <w:rFonts w:ascii="Garamond" w:hAnsi="Garamond"/>
          <w:sz w:val="24"/>
        </w:rPr>
        <w:t>di presentazione della domanda</w:t>
      </w:r>
    </w:p>
    <w:p w14:paraId="441C2C54" w14:textId="2F630ABB" w:rsidR="006C2C9F" w:rsidRPr="00EC2E52" w:rsidRDefault="006C2C9F" w:rsidP="006C2C9F">
      <w:pPr>
        <w:pStyle w:val="Intestazione"/>
        <w:rPr>
          <w:rFonts w:ascii="Garamond" w:hAnsi="Garamond" w:cs="Arial"/>
          <w:sz w:val="24"/>
          <w:szCs w:val="24"/>
        </w:rPr>
      </w:pPr>
      <w:r w:rsidRPr="00DC4D8D">
        <w:rPr>
          <w:rFonts w:ascii="Garamond" w:hAnsi="Garamond" w:cs="Arial"/>
          <w:sz w:val="24"/>
          <w:szCs w:val="24"/>
        </w:rPr>
        <w:t xml:space="preserve">Codice: </w:t>
      </w:r>
      <w:r w:rsidR="00DC4D8D" w:rsidRPr="00DC4D8D">
        <w:rPr>
          <w:rFonts w:ascii="Garamond" w:hAnsi="Garamond" w:cs="Arial"/>
          <w:b/>
          <w:sz w:val="24"/>
          <w:szCs w:val="24"/>
        </w:rPr>
        <w:t>CTTEM/C_TERZI/01/2021</w:t>
      </w:r>
    </w:p>
    <w:p w14:paraId="441C2C55" w14:textId="77777777" w:rsidR="006C2C9F" w:rsidRPr="00EC2E52" w:rsidRDefault="006C2C9F" w:rsidP="006C2C9F">
      <w:pPr>
        <w:pStyle w:val="Intestazione"/>
        <w:ind w:left="6300" w:right="567"/>
        <w:rPr>
          <w:rFonts w:ascii="Garamond" w:hAnsi="Garamond" w:cs="Arial"/>
          <w:b/>
          <w:sz w:val="24"/>
          <w:szCs w:val="24"/>
        </w:rPr>
      </w:pPr>
    </w:p>
    <w:p w14:paraId="6F114202" w14:textId="326A13D7" w:rsidR="002033E6" w:rsidRDefault="004476D5" w:rsidP="001B3C79">
      <w:pPr>
        <w:pStyle w:val="Intestazione"/>
        <w:ind w:left="5670" w:right="567"/>
        <w:jc w:val="both"/>
        <w:rPr>
          <w:rFonts w:ascii="Garamond" w:hAnsi="Garamond"/>
          <w:b/>
          <w:sz w:val="24"/>
        </w:rPr>
      </w:pPr>
      <w:r w:rsidRPr="006E1FCD">
        <w:rPr>
          <w:rFonts w:ascii="Garamond" w:hAnsi="Garamond"/>
          <w:b/>
          <w:sz w:val="24"/>
        </w:rPr>
        <w:t xml:space="preserve">Al </w:t>
      </w:r>
      <w:r w:rsidR="003E503C">
        <w:rPr>
          <w:rFonts w:ascii="Garamond" w:hAnsi="Garamond"/>
          <w:b/>
          <w:sz w:val="24"/>
        </w:rPr>
        <w:t>Direttore</w:t>
      </w:r>
      <w:r w:rsidR="001B3C79">
        <w:rPr>
          <w:rFonts w:ascii="Garamond" w:hAnsi="Garamond"/>
          <w:b/>
          <w:sz w:val="24"/>
        </w:rPr>
        <w:t xml:space="preserve"> generale</w:t>
      </w:r>
    </w:p>
    <w:p w14:paraId="43AB1C2D" w14:textId="54FDACDD" w:rsidR="004476D5" w:rsidRPr="00FF15C2" w:rsidRDefault="002033E6" w:rsidP="001B3C79">
      <w:pPr>
        <w:pStyle w:val="Intestazione"/>
        <w:ind w:left="5670" w:right="567"/>
        <w:jc w:val="both"/>
        <w:rPr>
          <w:rFonts w:ascii="Garamond" w:hAnsi="Garamond"/>
          <w:b/>
          <w:sz w:val="24"/>
        </w:rPr>
      </w:pPr>
      <w:r>
        <w:rPr>
          <w:rFonts w:ascii="Garamond" w:hAnsi="Garamond"/>
          <w:b/>
          <w:sz w:val="24"/>
        </w:rPr>
        <w:t>c/o</w:t>
      </w:r>
      <w:r w:rsidR="004476D5" w:rsidRPr="006E1FCD">
        <w:rPr>
          <w:rFonts w:ascii="Garamond" w:hAnsi="Garamond"/>
          <w:b/>
          <w:sz w:val="24"/>
        </w:rPr>
        <w:t xml:space="preserve">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111D5C7A" w:rsidR="006C2C9F"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lla procedura di valutazione compa</w:t>
      </w:r>
      <w:r w:rsidRPr="00DC4D8D">
        <w:rPr>
          <w:rFonts w:ascii="Garamond" w:hAnsi="Garamond" w:cs="Arial"/>
          <w:sz w:val="24"/>
          <w:szCs w:val="24"/>
        </w:rPr>
        <w:t xml:space="preserve">rativa per il conferimento del seguente incarico </w:t>
      </w:r>
      <w:r w:rsidRPr="00DC4D8D">
        <w:rPr>
          <w:rFonts w:ascii="Garamond" w:hAnsi="Garamond" w:cs="Arial"/>
          <w:color w:val="000000"/>
          <w:sz w:val="24"/>
          <w:szCs w:val="24"/>
        </w:rPr>
        <w:t>di lavoro autonomo</w:t>
      </w:r>
      <w:r w:rsidR="0010747D">
        <w:rPr>
          <w:rFonts w:ascii="Garamond" w:hAnsi="Garamond" w:cs="Arial"/>
          <w:color w:val="000000"/>
          <w:sz w:val="24"/>
          <w:szCs w:val="24"/>
        </w:rPr>
        <w:t xml:space="preserve"> per la realizzazione di uno studio </w:t>
      </w:r>
      <w:r w:rsidR="00831840">
        <w:rPr>
          <w:rFonts w:ascii="Garamond" w:hAnsi="Garamond" w:cs="Arial"/>
          <w:color w:val="000000"/>
          <w:sz w:val="24"/>
          <w:szCs w:val="24"/>
        </w:rPr>
        <w:t>giuridico-normativo transfrontaliero in materia di mobilità ciclabile e ciclopedonale in zone di montagn</w:t>
      </w:r>
      <w:r w:rsidR="004E3FE3">
        <w:rPr>
          <w:rFonts w:ascii="Garamond" w:hAnsi="Garamond" w:cs="Arial"/>
          <w:color w:val="000000"/>
          <w:sz w:val="24"/>
          <w:szCs w:val="24"/>
        </w:rPr>
        <w:t>a, nell’ambito del progetto “P.O.T.” – PITEM “M.I.TO.”</w:t>
      </w:r>
      <w:r w:rsidRPr="00DC4D8D">
        <w:rPr>
          <w:rFonts w:ascii="Garamond" w:hAnsi="Garamond" w:cs="Arial"/>
          <w:sz w:val="24"/>
          <w:szCs w:val="24"/>
        </w:rPr>
        <w:t xml:space="preserve">, </w:t>
      </w:r>
      <w:r w:rsidR="00D06C61">
        <w:rPr>
          <w:rFonts w:ascii="Garamond" w:hAnsi="Garamond" w:cs="Arial"/>
          <w:sz w:val="24"/>
          <w:szCs w:val="24"/>
        </w:rPr>
        <w:t xml:space="preserve">ALCOTRA 14-20. </w:t>
      </w:r>
      <w:r w:rsidRPr="00DC4D8D">
        <w:rPr>
          <w:rFonts w:ascii="Garamond" w:hAnsi="Garamond" w:cs="Arial"/>
          <w:sz w:val="24"/>
          <w:szCs w:val="24"/>
        </w:rPr>
        <w:t xml:space="preserve">Codice </w:t>
      </w:r>
      <w:r w:rsidR="00DC4D8D" w:rsidRPr="00DC4D8D">
        <w:rPr>
          <w:rFonts w:ascii="Garamond" w:hAnsi="Garamond"/>
        </w:rPr>
        <w:t>CTTEM/C_TERZI/01/2021</w:t>
      </w:r>
      <w:r w:rsidRPr="00DC4D8D">
        <w:rPr>
          <w:rFonts w:ascii="Garamond" w:hAnsi="Garamond" w:cs="Arial"/>
          <w:sz w:val="24"/>
          <w:szCs w:val="24"/>
        </w:rPr>
        <w:t>:</w:t>
      </w:r>
    </w:p>
    <w:p w14:paraId="047ED89F" w14:textId="77777777" w:rsidR="00FC0B82" w:rsidRPr="0009601B" w:rsidRDefault="00FC0B82" w:rsidP="00B16983">
      <w:pPr>
        <w:pStyle w:val="Intestazione"/>
        <w:jc w:val="both"/>
        <w:rPr>
          <w:rFonts w:ascii="Garamond" w:hAnsi="Garamond"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91FA9" w:rsidRPr="00F455EE" w14:paraId="1F998C6F" w14:textId="77777777" w:rsidTr="005769A8">
        <w:trPr>
          <w:trHeight w:val="204"/>
        </w:trPr>
        <w:tc>
          <w:tcPr>
            <w:tcW w:w="9747" w:type="dxa"/>
          </w:tcPr>
          <w:p w14:paraId="2A228850" w14:textId="77777777" w:rsidR="00420B27" w:rsidRPr="00420B27" w:rsidRDefault="00420B27" w:rsidP="00420B27">
            <w:pPr>
              <w:pStyle w:val="Paragrafoelenco"/>
              <w:numPr>
                <w:ilvl w:val="1"/>
                <w:numId w:val="23"/>
              </w:numPr>
              <w:autoSpaceDE w:val="0"/>
              <w:autoSpaceDN w:val="0"/>
              <w:adjustRightInd w:val="0"/>
              <w:ind w:left="993" w:right="707" w:hanging="720"/>
              <w:jc w:val="both"/>
              <w:rPr>
                <w:rFonts w:ascii="Garamond" w:hAnsi="Garamond"/>
                <w:i/>
                <w:iCs/>
                <w:color w:val="000000"/>
                <w:bdr w:val="none" w:sz="0" w:space="0" w:color="auto" w:frame="1"/>
              </w:rPr>
            </w:pPr>
            <w:r w:rsidRPr="00420B27">
              <w:rPr>
                <w:rFonts w:ascii="Garamond" w:hAnsi="Garamond"/>
                <w:i/>
                <w:iCs/>
                <w:color w:val="000000"/>
                <w:bdr w:val="none" w:sz="0" w:space="0" w:color="auto" w:frame="1"/>
              </w:rPr>
              <w:t>definizione del contesto transfrontaliero di Progetto e analisi SWOT in materia di mobilità ciclabile e ciclopedonale: normativa specifica francese e italiana (legislazione nazionale, regionale, regolamenti a livello locale, ecc.);</w:t>
            </w:r>
          </w:p>
          <w:p w14:paraId="09D41F10" w14:textId="09EA63D9" w:rsidR="00420B27" w:rsidRPr="00420B27" w:rsidRDefault="00420B27" w:rsidP="00420B27">
            <w:pPr>
              <w:pStyle w:val="Paragrafoelenco"/>
              <w:numPr>
                <w:ilvl w:val="1"/>
                <w:numId w:val="23"/>
              </w:numPr>
              <w:autoSpaceDE w:val="0"/>
              <w:autoSpaceDN w:val="0"/>
              <w:adjustRightInd w:val="0"/>
              <w:ind w:left="993" w:right="707" w:hanging="720"/>
              <w:jc w:val="both"/>
              <w:rPr>
                <w:rFonts w:ascii="Garamond" w:hAnsi="Garamond"/>
                <w:i/>
                <w:iCs/>
                <w:color w:val="000000"/>
                <w:bdr w:val="none" w:sz="0" w:space="0" w:color="auto" w:frame="1"/>
              </w:rPr>
            </w:pPr>
            <w:r w:rsidRPr="00BA00E2">
              <w:rPr>
                <w:rFonts w:ascii="Garamond" w:hAnsi="Garamond"/>
                <w:i/>
                <w:iCs/>
                <w:color w:val="000000"/>
                <w:bdr w:val="none" w:sz="0" w:space="0" w:color="auto" w:frame="1"/>
              </w:rPr>
              <w:t>analisi delle criticità emerse con riferimento a casi specifici (cause legali, chiusure temporanee, incidenti, ecc.)</w:t>
            </w:r>
          </w:p>
          <w:p w14:paraId="29B84C8E" w14:textId="444A9817" w:rsidR="00FC0B82" w:rsidRPr="00BA00E2" w:rsidRDefault="00FC0B82" w:rsidP="00BA00E2">
            <w:pPr>
              <w:pStyle w:val="Paragrafoelenco"/>
              <w:numPr>
                <w:ilvl w:val="1"/>
                <w:numId w:val="23"/>
              </w:numPr>
              <w:autoSpaceDE w:val="0"/>
              <w:autoSpaceDN w:val="0"/>
              <w:adjustRightInd w:val="0"/>
              <w:ind w:left="993" w:right="707" w:hanging="720"/>
              <w:jc w:val="both"/>
              <w:rPr>
                <w:rFonts w:ascii="Garamond" w:hAnsi="Garamond"/>
                <w:i/>
                <w:iCs/>
                <w:color w:val="000000"/>
                <w:bdr w:val="none" w:sz="0" w:space="0" w:color="auto" w:frame="1"/>
              </w:rPr>
            </w:pPr>
            <w:r w:rsidRPr="00BA00E2">
              <w:rPr>
                <w:rFonts w:ascii="Garamond" w:hAnsi="Garamond"/>
                <w:i/>
                <w:iCs/>
                <w:color w:val="000000"/>
                <w:bdr w:val="none" w:sz="0" w:space="0" w:color="auto" w:frame="1"/>
              </w:rPr>
              <w:t>soluzioni adottate nell’immediato (assicurazioni, convenzioni, chiusure temporanee).</w:t>
            </w:r>
          </w:p>
          <w:p w14:paraId="437FF9A8" w14:textId="70DF9A9E" w:rsidR="00D91FA9" w:rsidRPr="00462E2E" w:rsidRDefault="00D91FA9" w:rsidP="00420B27">
            <w:pPr>
              <w:tabs>
                <w:tab w:val="left" w:pos="8931"/>
              </w:tabs>
              <w:autoSpaceDE w:val="0"/>
              <w:autoSpaceDN w:val="0"/>
              <w:adjustRightInd w:val="0"/>
              <w:ind w:right="707"/>
              <w:jc w:val="both"/>
              <w:rPr>
                <w:rFonts w:ascii="Garamond" w:hAnsi="Garamond"/>
                <w:i/>
                <w:iCs/>
              </w:rPr>
            </w:pPr>
          </w:p>
        </w:tc>
      </w:tr>
    </w:tbl>
    <w:p w14:paraId="738DE7B2" w14:textId="77777777" w:rsidR="00BC5AE1" w:rsidRDefault="00BC5AE1" w:rsidP="00BC5AE1">
      <w:pPr>
        <w:tabs>
          <w:tab w:val="left" w:pos="8931"/>
        </w:tabs>
        <w:autoSpaceDE w:val="0"/>
        <w:autoSpaceDN w:val="0"/>
        <w:adjustRightInd w:val="0"/>
        <w:ind w:left="142" w:right="707"/>
        <w:jc w:val="both"/>
        <w:rPr>
          <w:rFonts w:ascii="Garamond" w:hAnsi="Garamond"/>
          <w:color w:val="000000"/>
          <w:bdr w:val="none" w:sz="0" w:space="0" w:color="auto" w:frame="1"/>
        </w:rPr>
      </w:pPr>
      <w:r w:rsidRPr="00A84B43">
        <w:rPr>
          <w:rFonts w:ascii="Garamond" w:hAnsi="Garamond"/>
          <w:color w:val="000000"/>
          <w:bdr w:val="none" w:sz="0" w:space="0" w:color="auto" w:frame="1"/>
        </w:rPr>
        <w:t>La collaborazione richiede la realizzazione di un rapporto in lingua italiana e francese dovrà comprendere:</w:t>
      </w:r>
    </w:p>
    <w:p w14:paraId="441C2C69" w14:textId="77777777" w:rsidR="006C2C9F" w:rsidRDefault="006C2C9F" w:rsidP="006C2C9F">
      <w:pPr>
        <w:autoSpaceDE w:val="0"/>
        <w:autoSpaceDN w:val="0"/>
        <w:rPr>
          <w:rFonts w:ascii="Garamond" w:hAnsi="Garamond"/>
          <w:i/>
        </w:rPr>
      </w:pPr>
    </w:p>
    <w:p w14:paraId="1E0952D0" w14:textId="77777777" w:rsidR="004B4600" w:rsidRPr="004B4600" w:rsidRDefault="004B4600" w:rsidP="004B4600">
      <w:pPr>
        <w:pStyle w:val="Paragrafoelenco"/>
        <w:numPr>
          <w:ilvl w:val="1"/>
          <w:numId w:val="23"/>
        </w:numPr>
        <w:autoSpaceDE w:val="0"/>
        <w:autoSpaceDN w:val="0"/>
        <w:adjustRightInd w:val="0"/>
        <w:ind w:left="993" w:right="707" w:hanging="720"/>
        <w:jc w:val="both"/>
        <w:rPr>
          <w:rFonts w:ascii="Garamond" w:hAnsi="Garamond"/>
          <w:i/>
          <w:iCs/>
          <w:color w:val="000000"/>
          <w:bdr w:val="none" w:sz="0" w:space="0" w:color="auto" w:frame="1"/>
        </w:rPr>
      </w:pPr>
      <w:r w:rsidRPr="004B4600">
        <w:rPr>
          <w:rFonts w:ascii="Garamond" w:hAnsi="Garamond"/>
          <w:i/>
          <w:iCs/>
          <w:color w:val="000000"/>
          <w:bdr w:val="none" w:sz="0" w:space="0" w:color="auto" w:frame="1"/>
        </w:rPr>
        <w:t>normativa specifica italiana e francese</w:t>
      </w:r>
    </w:p>
    <w:p w14:paraId="66BAB03B" w14:textId="77777777" w:rsidR="004B4600" w:rsidRPr="004B4600" w:rsidRDefault="004B4600" w:rsidP="004B4600">
      <w:pPr>
        <w:pStyle w:val="Paragrafoelenco"/>
        <w:numPr>
          <w:ilvl w:val="1"/>
          <w:numId w:val="23"/>
        </w:numPr>
        <w:autoSpaceDE w:val="0"/>
        <w:autoSpaceDN w:val="0"/>
        <w:adjustRightInd w:val="0"/>
        <w:ind w:left="993" w:right="707" w:hanging="720"/>
        <w:jc w:val="both"/>
        <w:rPr>
          <w:rFonts w:ascii="Garamond" w:hAnsi="Garamond"/>
          <w:i/>
          <w:iCs/>
          <w:color w:val="000000"/>
          <w:bdr w:val="none" w:sz="0" w:space="0" w:color="auto" w:frame="1"/>
        </w:rPr>
      </w:pPr>
      <w:r w:rsidRPr="004B4600">
        <w:rPr>
          <w:rFonts w:ascii="Garamond" w:hAnsi="Garamond"/>
          <w:i/>
          <w:iCs/>
          <w:color w:val="000000"/>
          <w:bdr w:val="none" w:sz="0" w:space="0" w:color="auto" w:frame="1"/>
        </w:rPr>
        <w:t>-criticità e casistica</w:t>
      </w:r>
    </w:p>
    <w:p w14:paraId="2307A9E4" w14:textId="77777777" w:rsidR="004B4600" w:rsidRPr="004B4600" w:rsidRDefault="004B4600" w:rsidP="004B4600">
      <w:pPr>
        <w:pStyle w:val="Paragrafoelenco"/>
        <w:numPr>
          <w:ilvl w:val="1"/>
          <w:numId w:val="23"/>
        </w:numPr>
        <w:autoSpaceDE w:val="0"/>
        <w:autoSpaceDN w:val="0"/>
        <w:adjustRightInd w:val="0"/>
        <w:ind w:left="993" w:right="707" w:hanging="720"/>
        <w:jc w:val="both"/>
        <w:rPr>
          <w:rFonts w:ascii="Garamond" w:hAnsi="Garamond"/>
          <w:i/>
          <w:iCs/>
          <w:color w:val="000000"/>
          <w:bdr w:val="none" w:sz="0" w:space="0" w:color="auto" w:frame="1"/>
        </w:rPr>
      </w:pPr>
      <w:r w:rsidRPr="004B4600">
        <w:rPr>
          <w:rFonts w:ascii="Garamond" w:hAnsi="Garamond"/>
          <w:i/>
          <w:iCs/>
          <w:color w:val="000000"/>
          <w:bdr w:val="none" w:sz="0" w:space="0" w:color="auto" w:frame="1"/>
        </w:rPr>
        <w:t>-soluzioni adottate nell’immediato</w:t>
      </w:r>
    </w:p>
    <w:p w14:paraId="75B98558" w14:textId="77777777" w:rsidR="00600D02" w:rsidRDefault="00600D02" w:rsidP="00B16983">
      <w:pPr>
        <w:autoSpaceDE w:val="0"/>
        <w:autoSpaceDN w:val="0"/>
        <w:jc w:val="both"/>
        <w:rPr>
          <w:rFonts w:ascii="Garamond" w:hAnsi="Garamond" w:cs="Arial"/>
        </w:rPr>
      </w:pPr>
    </w:p>
    <w:p w14:paraId="44A14AE8" w14:textId="77777777" w:rsidR="00600D02" w:rsidRDefault="00600D02" w:rsidP="00B16983">
      <w:pPr>
        <w:autoSpaceDE w:val="0"/>
        <w:autoSpaceDN w:val="0"/>
        <w:jc w:val="both"/>
        <w:rPr>
          <w:rFonts w:ascii="Garamond" w:hAnsi="Garamond" w:cs="Arial"/>
        </w:rPr>
      </w:pPr>
    </w:p>
    <w:p w14:paraId="441C2C6A" w14:textId="649BB5FB"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2D5A9031" w:rsidR="006C2C9F" w:rsidRDefault="006C2C9F" w:rsidP="006C2C9F">
      <w:pPr>
        <w:pStyle w:val="Intestazione"/>
        <w:ind w:right="567"/>
        <w:rPr>
          <w:rFonts w:ascii="Garamond" w:hAnsi="Garamond" w:cs="Arial"/>
          <w:b/>
          <w:sz w:val="24"/>
          <w:szCs w:val="24"/>
        </w:rPr>
      </w:pPr>
    </w:p>
    <w:p w14:paraId="065A66AB" w14:textId="552170CE" w:rsidR="00600D02" w:rsidRDefault="00600D02" w:rsidP="006C2C9F">
      <w:pPr>
        <w:pStyle w:val="Intestazione"/>
        <w:ind w:right="567"/>
        <w:rPr>
          <w:rFonts w:ascii="Garamond" w:hAnsi="Garamond" w:cs="Arial"/>
          <w:b/>
          <w:sz w:val="24"/>
          <w:szCs w:val="24"/>
        </w:rPr>
      </w:pPr>
    </w:p>
    <w:p w14:paraId="7EF181FF" w14:textId="3EBFF700" w:rsidR="00600D02" w:rsidRDefault="00600D02" w:rsidP="006C2C9F">
      <w:pPr>
        <w:pStyle w:val="Intestazione"/>
        <w:ind w:right="567"/>
        <w:rPr>
          <w:rFonts w:ascii="Garamond" w:hAnsi="Garamond" w:cs="Arial"/>
          <w:b/>
          <w:sz w:val="24"/>
          <w:szCs w:val="24"/>
        </w:rPr>
      </w:pPr>
    </w:p>
    <w:p w14:paraId="65737FDB" w14:textId="77777777" w:rsidR="004B4600" w:rsidRDefault="004B4600" w:rsidP="006C2C9F">
      <w:pPr>
        <w:pStyle w:val="Intestazione"/>
        <w:ind w:right="567"/>
        <w:rPr>
          <w:rFonts w:ascii="Garamond" w:hAnsi="Garamond" w:cs="Arial"/>
          <w:b/>
          <w:sz w:val="24"/>
          <w:szCs w:val="24"/>
        </w:rPr>
      </w:pPr>
    </w:p>
    <w:p w14:paraId="4EB244C0" w14:textId="28045384" w:rsidR="00600D02" w:rsidRDefault="00600D02" w:rsidP="006C2C9F">
      <w:pPr>
        <w:pStyle w:val="Intestazione"/>
        <w:ind w:right="567"/>
        <w:rPr>
          <w:rFonts w:ascii="Garamond" w:hAnsi="Garamond" w:cs="Arial"/>
          <w:b/>
          <w:sz w:val="24"/>
          <w:szCs w:val="24"/>
        </w:rPr>
      </w:pPr>
    </w:p>
    <w:p w14:paraId="4904B9A8" w14:textId="77777777" w:rsidR="00600D02" w:rsidRPr="00770147" w:rsidRDefault="00600D02"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lastRenderedPageBreak/>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1AFCF1FE" w:rsidR="006A7CB4" w:rsidRDefault="006A7CB4" w:rsidP="006A7CB4">
      <w:pPr>
        <w:pStyle w:val="Intestazione"/>
        <w:ind w:left="720" w:right="98"/>
        <w:jc w:val="both"/>
        <w:rPr>
          <w:rFonts w:ascii="Garamond" w:hAnsi="Garamond" w:cs="Arial"/>
          <w:sz w:val="24"/>
          <w:szCs w:val="24"/>
        </w:rPr>
      </w:pPr>
    </w:p>
    <w:p w14:paraId="74DC534B" w14:textId="43746306" w:rsidR="004B4600" w:rsidRDefault="004B4600" w:rsidP="006A7CB4">
      <w:pPr>
        <w:pStyle w:val="Intestazione"/>
        <w:ind w:left="720" w:right="98"/>
        <w:jc w:val="both"/>
        <w:rPr>
          <w:rFonts w:ascii="Garamond" w:hAnsi="Garamond" w:cs="Arial"/>
          <w:sz w:val="24"/>
          <w:szCs w:val="24"/>
        </w:rPr>
      </w:pPr>
    </w:p>
    <w:p w14:paraId="6307C3E8" w14:textId="77777777" w:rsidR="004B4600" w:rsidRDefault="004B4600" w:rsidP="006A7CB4">
      <w:pPr>
        <w:pStyle w:val="Intestazione"/>
        <w:ind w:left="720" w:right="98"/>
        <w:jc w:val="both"/>
        <w:rPr>
          <w:rFonts w:ascii="Garamond" w:hAnsi="Garamond" w:cs="Arial"/>
          <w:sz w:val="24"/>
          <w:szCs w:val="24"/>
        </w:rPr>
      </w:pPr>
    </w:p>
    <w:p w14:paraId="441C2C96" w14:textId="77777777" w:rsidR="00076033" w:rsidRPr="00462E2E" w:rsidRDefault="00076033" w:rsidP="00076033">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lastRenderedPageBreak/>
        <w:t>Art. 3 – Incompatibilità</w:t>
      </w:r>
    </w:p>
    <w:p w14:paraId="441C2C97" w14:textId="138A26C1"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462E2E" w:rsidRDefault="00076033" w:rsidP="00A772F8">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studiorum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1F6D64FF"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sidR="00462E2E">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AF244" w14:textId="77777777" w:rsidR="00CA20BF" w:rsidRDefault="00CA20BF">
      <w:r>
        <w:separator/>
      </w:r>
    </w:p>
  </w:endnote>
  <w:endnote w:type="continuationSeparator" w:id="0">
    <w:p w14:paraId="1C178B85" w14:textId="77777777" w:rsidR="00CA20BF" w:rsidRDefault="00CA20BF">
      <w:r>
        <w:continuationSeparator/>
      </w:r>
    </w:p>
  </w:endnote>
  <w:endnote w:type="continuationNotice" w:id="1">
    <w:p w14:paraId="7611DA5E" w14:textId="77777777" w:rsidR="00CA20BF" w:rsidRDefault="00CA20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Arial"/>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BC22E" w14:textId="77777777" w:rsidR="00CA20BF" w:rsidRDefault="00CA20BF">
      <w:r>
        <w:separator/>
      </w:r>
    </w:p>
  </w:footnote>
  <w:footnote w:type="continuationSeparator" w:id="0">
    <w:p w14:paraId="4AEEEBAC" w14:textId="77777777" w:rsidR="00CA20BF" w:rsidRDefault="00CA20BF">
      <w:r>
        <w:continuationSeparator/>
      </w:r>
    </w:p>
  </w:footnote>
  <w:footnote w:type="continuationNotice" w:id="1">
    <w:p w14:paraId="42F6B950" w14:textId="77777777" w:rsidR="00CA20BF" w:rsidRDefault="00CA20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47770C"/>
    <w:multiLevelType w:val="hybridMultilevel"/>
    <w:tmpl w:val="95009DD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744173"/>
    <w:multiLevelType w:val="hybridMultilevel"/>
    <w:tmpl w:val="000AC69E"/>
    <w:lvl w:ilvl="0" w:tplc="B4BC16BC">
      <w:start w:val="1"/>
      <w:numFmt w:val="bullet"/>
      <w:lvlText w:val=""/>
      <w:lvlJc w:val="left"/>
      <w:pPr>
        <w:ind w:left="1146" w:hanging="360"/>
      </w:pPr>
      <w:rPr>
        <w:rFonts w:ascii="Symbol" w:hAnsi="Symbol" w:hint="default"/>
      </w:rPr>
    </w:lvl>
    <w:lvl w:ilvl="1" w:tplc="481848D6">
      <w:numFmt w:val="bullet"/>
      <w:lvlText w:val="•"/>
      <w:lvlJc w:val="left"/>
      <w:pPr>
        <w:ind w:left="1440" w:hanging="360"/>
      </w:pPr>
      <w:rPr>
        <w:rFonts w:ascii="Garamond" w:eastAsia="Times New Roman" w:hAnsi="Garamon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2"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8"/>
  </w:num>
  <w:num w:numId="2">
    <w:abstractNumId w:val="17"/>
  </w:num>
  <w:num w:numId="3">
    <w:abstractNumId w:val="13"/>
  </w:num>
  <w:num w:numId="4">
    <w:abstractNumId w:val="0"/>
  </w:num>
  <w:num w:numId="5">
    <w:abstractNumId w:val="18"/>
  </w:num>
  <w:num w:numId="6">
    <w:abstractNumId w:val="10"/>
  </w:num>
  <w:num w:numId="7">
    <w:abstractNumId w:val="1"/>
  </w:num>
  <w:num w:numId="8">
    <w:abstractNumId w:val="7"/>
  </w:num>
  <w:num w:numId="9">
    <w:abstractNumId w:val="19"/>
  </w:num>
  <w:num w:numId="10">
    <w:abstractNumId w:val="5"/>
  </w:num>
  <w:num w:numId="11">
    <w:abstractNumId w:val="22"/>
  </w:num>
  <w:num w:numId="12">
    <w:abstractNumId w:val="16"/>
  </w:num>
  <w:num w:numId="13">
    <w:abstractNumId w:val="15"/>
  </w:num>
  <w:num w:numId="14">
    <w:abstractNumId w:val="6"/>
    <w:lvlOverride w:ilvl="0">
      <w:startOverride w:val="1"/>
    </w:lvlOverride>
  </w:num>
  <w:num w:numId="15">
    <w:abstractNumId w:val="20"/>
  </w:num>
  <w:num w:numId="16">
    <w:abstractNumId w:val="9"/>
    <w:lvlOverride w:ilvl="0">
      <w:startOverride w:val="1"/>
    </w:lvlOverride>
  </w:num>
  <w:num w:numId="17">
    <w:abstractNumId w:val="3"/>
  </w:num>
  <w:num w:numId="18">
    <w:abstractNumId w:val="21"/>
  </w:num>
  <w:num w:numId="19">
    <w:abstractNumId w:val="4"/>
  </w:num>
  <w:num w:numId="20">
    <w:abstractNumId w:val="1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0747D"/>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C79"/>
    <w:rsid w:val="001B3D91"/>
    <w:rsid w:val="001B5E3F"/>
    <w:rsid w:val="001B615E"/>
    <w:rsid w:val="001C053C"/>
    <w:rsid w:val="001C182D"/>
    <w:rsid w:val="001C4F78"/>
    <w:rsid w:val="001C6452"/>
    <w:rsid w:val="001D11E3"/>
    <w:rsid w:val="001E1EC9"/>
    <w:rsid w:val="001E2913"/>
    <w:rsid w:val="001E485B"/>
    <w:rsid w:val="001E79E9"/>
    <w:rsid w:val="001F1DCF"/>
    <w:rsid w:val="002033E6"/>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6438"/>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E503C"/>
    <w:rsid w:val="003F2EB2"/>
    <w:rsid w:val="003F364B"/>
    <w:rsid w:val="003F6DE6"/>
    <w:rsid w:val="00402145"/>
    <w:rsid w:val="00404CB5"/>
    <w:rsid w:val="004077CA"/>
    <w:rsid w:val="0041316F"/>
    <w:rsid w:val="00415602"/>
    <w:rsid w:val="0041739E"/>
    <w:rsid w:val="00420B27"/>
    <w:rsid w:val="00425096"/>
    <w:rsid w:val="00427699"/>
    <w:rsid w:val="004315CC"/>
    <w:rsid w:val="0043305F"/>
    <w:rsid w:val="00433C5A"/>
    <w:rsid w:val="00435FE7"/>
    <w:rsid w:val="00443137"/>
    <w:rsid w:val="004476D5"/>
    <w:rsid w:val="00452A7F"/>
    <w:rsid w:val="004578EB"/>
    <w:rsid w:val="00462E2E"/>
    <w:rsid w:val="00463DB9"/>
    <w:rsid w:val="00465F2A"/>
    <w:rsid w:val="00474101"/>
    <w:rsid w:val="00495B6B"/>
    <w:rsid w:val="00496F33"/>
    <w:rsid w:val="004A063A"/>
    <w:rsid w:val="004A2217"/>
    <w:rsid w:val="004A271B"/>
    <w:rsid w:val="004A39B5"/>
    <w:rsid w:val="004A56DF"/>
    <w:rsid w:val="004B4600"/>
    <w:rsid w:val="004C140C"/>
    <w:rsid w:val="004C157A"/>
    <w:rsid w:val="004C34F1"/>
    <w:rsid w:val="004C411F"/>
    <w:rsid w:val="004C5F8E"/>
    <w:rsid w:val="004C646F"/>
    <w:rsid w:val="004D243E"/>
    <w:rsid w:val="004D45B0"/>
    <w:rsid w:val="004D60D8"/>
    <w:rsid w:val="004E3FE3"/>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3FC"/>
    <w:rsid w:val="005E553B"/>
    <w:rsid w:val="005E5830"/>
    <w:rsid w:val="005F0A5F"/>
    <w:rsid w:val="005F5D39"/>
    <w:rsid w:val="005F77A5"/>
    <w:rsid w:val="00600D02"/>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7227B"/>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43863"/>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31840"/>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2913"/>
    <w:rsid w:val="008B3B29"/>
    <w:rsid w:val="008B3BBD"/>
    <w:rsid w:val="008B587A"/>
    <w:rsid w:val="008B6703"/>
    <w:rsid w:val="008C4BAE"/>
    <w:rsid w:val="008D118C"/>
    <w:rsid w:val="008D22BE"/>
    <w:rsid w:val="008E13B4"/>
    <w:rsid w:val="008F1409"/>
    <w:rsid w:val="008F154C"/>
    <w:rsid w:val="008F627C"/>
    <w:rsid w:val="008F6A62"/>
    <w:rsid w:val="0090645A"/>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1AB0"/>
    <w:rsid w:val="00A03D2F"/>
    <w:rsid w:val="00A0401F"/>
    <w:rsid w:val="00A25CDB"/>
    <w:rsid w:val="00A309B0"/>
    <w:rsid w:val="00A55A56"/>
    <w:rsid w:val="00A56601"/>
    <w:rsid w:val="00A56AE0"/>
    <w:rsid w:val="00A56BBD"/>
    <w:rsid w:val="00A622EB"/>
    <w:rsid w:val="00A6384C"/>
    <w:rsid w:val="00A67B2D"/>
    <w:rsid w:val="00A70128"/>
    <w:rsid w:val="00A7193A"/>
    <w:rsid w:val="00A71CE6"/>
    <w:rsid w:val="00A772F8"/>
    <w:rsid w:val="00A77B46"/>
    <w:rsid w:val="00A81397"/>
    <w:rsid w:val="00A83FA7"/>
    <w:rsid w:val="00A966AA"/>
    <w:rsid w:val="00A9679F"/>
    <w:rsid w:val="00A97745"/>
    <w:rsid w:val="00A97E6D"/>
    <w:rsid w:val="00AA01F3"/>
    <w:rsid w:val="00AA440E"/>
    <w:rsid w:val="00AB1565"/>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00E2"/>
    <w:rsid w:val="00BA102B"/>
    <w:rsid w:val="00BA1FFF"/>
    <w:rsid w:val="00BC4F02"/>
    <w:rsid w:val="00BC5AE1"/>
    <w:rsid w:val="00BC5E0A"/>
    <w:rsid w:val="00BD1367"/>
    <w:rsid w:val="00BD28B4"/>
    <w:rsid w:val="00BD79AC"/>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0BF"/>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6C61"/>
    <w:rsid w:val="00D07FDA"/>
    <w:rsid w:val="00D10CB0"/>
    <w:rsid w:val="00D132AF"/>
    <w:rsid w:val="00D17176"/>
    <w:rsid w:val="00D176A0"/>
    <w:rsid w:val="00D22F89"/>
    <w:rsid w:val="00D3289B"/>
    <w:rsid w:val="00D35088"/>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4D8D"/>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639F"/>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C0B82"/>
    <w:rsid w:val="00FC175A"/>
    <w:rsid w:val="00FC6ABF"/>
    <w:rsid w:val="00FC6EE5"/>
    <w:rsid w:val="00FD38A2"/>
    <w:rsid w:val="00FD617F"/>
    <w:rsid w:val="00FD6677"/>
    <w:rsid w:val="00FE5415"/>
    <w:rsid w:val="00FE5C29"/>
    <w:rsid w:val="00FE7E65"/>
    <w:rsid w:val="00FF02EB"/>
    <w:rsid w:val="00FF0AE3"/>
    <w:rsid w:val="00FF293B"/>
    <w:rsid w:val="00FF30A1"/>
    <w:rsid w:val="00FF5417"/>
    <w:rsid w:val="69D8FB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DA9F787C-2E17-48B4-BFEE-FE803CAB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913214">
      <w:bodyDiv w:val="1"/>
      <w:marLeft w:val="0"/>
      <w:marRight w:val="0"/>
      <w:marTop w:val="0"/>
      <w:marBottom w:val="0"/>
      <w:divBdr>
        <w:top w:val="none" w:sz="0" w:space="0" w:color="auto"/>
        <w:left w:val="none" w:sz="0" w:space="0" w:color="auto"/>
        <w:bottom w:val="none" w:sz="0" w:space="0" w:color="auto"/>
        <w:right w:val="none" w:sz="0" w:space="0" w:color="auto"/>
      </w:divBdr>
    </w:div>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137293">
      <w:bodyDiv w:val="1"/>
      <w:marLeft w:val="0"/>
      <w:marRight w:val="0"/>
      <w:marTop w:val="0"/>
      <w:marBottom w:val="0"/>
      <w:divBdr>
        <w:top w:val="none" w:sz="0" w:space="0" w:color="auto"/>
        <w:left w:val="none" w:sz="0" w:space="0" w:color="auto"/>
        <w:bottom w:val="none" w:sz="0" w:space="0" w:color="auto"/>
        <w:right w:val="none" w:sz="0" w:space="0" w:color="auto"/>
      </w:divBdr>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4" ma:contentTypeDescription="Creare un nuovo documento." ma:contentTypeScope="" ma:versionID="d6674594199237d491a4e937d61a818d">
  <xsd:schema xmlns:xsd="http://www.w3.org/2001/XMLSchema" xmlns:xs="http://www.w3.org/2001/XMLSchema" xmlns:p="http://schemas.microsoft.com/office/2006/metadata/properties" xmlns:ns1="http://schemas.microsoft.com/sharepoint/v3" xmlns:ns2="827ef35c-0d7a-4cad-a750-5bcb7c695b3c" xmlns:ns3="b2cbe232-e2f2-4e2a-83cf-e6ea629c7834" targetNamespace="http://schemas.microsoft.com/office/2006/metadata/properties" ma:root="true" ma:fieldsID="927539cb35fc1c4da26c9c9f17acf972" ns1:_="" ns2:_="" ns3:_="">
    <xsd:import namespace="http://schemas.microsoft.com/sharepoint/v3"/>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tà criteri di conformità unificati" ma:hidden="true" ma:internalName="_ip_UnifiedCompliancePolicyProperties">
      <xsd:simpleType>
        <xsd:restriction base="dms:Note"/>
      </xsd:simpleType>
    </xsd:element>
    <xsd:element name="_ip_UnifiedCompliancePolicyUIAction" ma:index="21"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B9419-1B3E-41D5-B218-FF6B4B819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3.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618B6DE-377B-413F-9514-FE09301D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3</Pages>
  <Words>952</Words>
  <Characters>5430</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Laura Sirigu</cp:lastModifiedBy>
  <cp:revision>232</cp:revision>
  <cp:lastPrinted>2013-01-25T18:10:00Z</cp:lastPrinted>
  <dcterms:created xsi:type="dcterms:W3CDTF">2011-11-08T19:13:00Z</dcterms:created>
  <dcterms:modified xsi:type="dcterms:W3CDTF">2021-07-15T13:02:00Z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